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F7" w:rsidRDefault="009A08F7" w:rsidP="009A08F7">
      <w:pPr>
        <w:rPr>
          <w:b/>
          <w:bCs/>
          <w:sz w:val="32"/>
        </w:rPr>
      </w:pPr>
      <w:r>
        <w:pict>
          <v:rect id="_x0000_s1026" style="position:absolute;margin-left:-9pt;margin-top:9pt;width:468pt;height:63pt;z-index:251658240" fillcolor="yellow">
            <v:textbox>
              <w:txbxContent>
                <w:p w:rsidR="009A08F7" w:rsidRDefault="009A08F7" w:rsidP="009A08F7"/>
                <w:p w:rsidR="009A08F7" w:rsidRDefault="009A08F7" w:rsidP="009A08F7">
                  <w:pPr>
                    <w:pStyle w:val="Zkladntext"/>
                  </w:pPr>
                  <w:r>
                    <w:t>Zásady pro poskytování bydlení v nájemních bytech v majetku města Světlá nad Sázavou</w:t>
                  </w:r>
                </w:p>
                <w:p w:rsidR="009A08F7" w:rsidRDefault="009A08F7" w:rsidP="009A08F7"/>
                <w:p w:rsidR="009A08F7" w:rsidRDefault="009A08F7" w:rsidP="009A08F7"/>
              </w:txbxContent>
            </v:textbox>
          </v:rect>
        </w:pict>
      </w:r>
    </w:p>
    <w:p w:rsidR="009A08F7" w:rsidRDefault="009A08F7" w:rsidP="009A08F7">
      <w:pPr>
        <w:jc w:val="center"/>
        <w:rPr>
          <w:b/>
          <w:bCs/>
          <w:sz w:val="32"/>
        </w:rPr>
      </w:pPr>
    </w:p>
    <w:p w:rsidR="009A08F7" w:rsidRDefault="009A08F7" w:rsidP="009A08F7">
      <w:pPr>
        <w:jc w:val="center"/>
        <w:rPr>
          <w:b/>
          <w:bCs/>
          <w:sz w:val="32"/>
        </w:rPr>
      </w:pPr>
    </w:p>
    <w:p w:rsidR="009A08F7" w:rsidRDefault="009A08F7" w:rsidP="009A08F7">
      <w:pPr>
        <w:jc w:val="center"/>
        <w:rPr>
          <w:b/>
          <w:bCs/>
          <w:sz w:val="32"/>
        </w:rPr>
      </w:pPr>
    </w:p>
    <w:p w:rsidR="009A08F7" w:rsidRDefault="009A08F7" w:rsidP="009A08F7"/>
    <w:p w:rsidR="009A08F7" w:rsidRDefault="009A08F7" w:rsidP="009A08F7">
      <w:r>
        <w:t>Tyto zásady upravují podmínky, za kterých lze uzavírat nájemní smlouvy na byty v majetku města Světlá nad Sázavou.</w:t>
      </w:r>
    </w:p>
    <w:p w:rsidR="009A08F7" w:rsidRDefault="009A08F7" w:rsidP="009A08F7">
      <w:r>
        <w:t>Zásady spolu se žádostí o přidělení bytu jsou k dispozici v kanceláři finančního odboru MěÚ Světlá nad Sázavou (dále jen MěÚ), v kanceláři bytového hospodářství TBS Světlá nad Sázavou, p.o. a dále na webových stránkách města Světlá nad Sázavou (</w:t>
      </w:r>
      <w:hyperlink r:id="rId5" w:history="1">
        <w:r>
          <w:rPr>
            <w:rStyle w:val="Hypertextovodkaz"/>
            <w:rFonts w:eastAsiaTheme="majorEastAsia"/>
          </w:rPr>
          <w:t>www.svetlans.cz</w:t>
        </w:r>
      </w:hyperlink>
      <w:r>
        <w:t>) a  TBS Světlá nad Sázavou, p.o.  (</w:t>
      </w:r>
      <w:hyperlink r:id="rId6" w:history="1">
        <w:r>
          <w:rPr>
            <w:rStyle w:val="Hypertextovodkaz"/>
            <w:rFonts w:eastAsiaTheme="majorEastAsia"/>
          </w:rPr>
          <w:t>www.tbs-svetla.cz</w:t>
        </w:r>
      </w:hyperlink>
      <w:r>
        <w:t>).</w:t>
      </w:r>
    </w:p>
    <w:p w:rsidR="009A08F7" w:rsidRDefault="009A08F7" w:rsidP="009A08F7"/>
    <w:p w:rsidR="009A08F7" w:rsidRDefault="009A08F7" w:rsidP="009A08F7"/>
    <w:p w:rsidR="009A08F7" w:rsidRDefault="009A08F7" w:rsidP="009A08F7">
      <w:pPr>
        <w:pStyle w:val="Nadpis1"/>
        <w:tabs>
          <w:tab w:val="left" w:pos="708"/>
        </w:tabs>
        <w:ind w:left="1080"/>
        <w:jc w:val="center"/>
      </w:pPr>
      <w:r>
        <w:t>I. Úvodní ustanovení</w:t>
      </w:r>
    </w:p>
    <w:p w:rsidR="009A08F7" w:rsidRDefault="009A08F7" w:rsidP="009A08F7">
      <w:pPr>
        <w:ind w:left="360"/>
      </w:pPr>
    </w:p>
    <w:p w:rsidR="009A08F7" w:rsidRDefault="009A08F7" w:rsidP="009A08F7">
      <w:pPr>
        <w:numPr>
          <w:ilvl w:val="0"/>
          <w:numId w:val="1"/>
        </w:numPr>
      </w:pPr>
      <w:r>
        <w:t>Bytová komise (dále jen BK) jmenovaná Radou města Světlá nad Sázavou navrhuje na základě těchto zásad radě města (dále jen RM) ke schválení uzavření smlouvy na nájemní byt v majetku města.</w:t>
      </w:r>
    </w:p>
    <w:p w:rsidR="009A08F7" w:rsidRDefault="009A08F7" w:rsidP="009A08F7">
      <w:pPr>
        <w:ind w:left="360"/>
        <w:rPr>
          <w:sz w:val="20"/>
          <w:szCs w:val="20"/>
        </w:rPr>
      </w:pPr>
    </w:p>
    <w:p w:rsidR="009A08F7" w:rsidRDefault="009A08F7" w:rsidP="009A08F7">
      <w:pPr>
        <w:numPr>
          <w:ilvl w:val="0"/>
          <w:numId w:val="1"/>
        </w:numPr>
      </w:pPr>
      <w:r>
        <w:t>Nájemní smlouvy uzavírá v zastoupení města Světlá nad Sázavou statutární zástupce příspěvkové organizace TBS Světlá nad Sázavou, p.o. (dále jen správce bytů).</w:t>
      </w:r>
    </w:p>
    <w:p w:rsidR="009A08F7" w:rsidRDefault="009A08F7" w:rsidP="009A08F7">
      <w:pPr>
        <w:rPr>
          <w:sz w:val="20"/>
          <w:szCs w:val="20"/>
        </w:rPr>
      </w:pPr>
    </w:p>
    <w:p w:rsidR="009A08F7" w:rsidRDefault="009A08F7" w:rsidP="009A08F7">
      <w:pPr>
        <w:numPr>
          <w:ilvl w:val="0"/>
          <w:numId w:val="1"/>
        </w:numPr>
      </w:pPr>
      <w:r>
        <w:t>Nájemními byty jsou byty v domech v majetku města Světlá nad Sázavou. Nájemní vztahy k těmto bytům se řídí příslušnými ustanoveními Občanského zákoníku a těmito zásadami.</w:t>
      </w:r>
    </w:p>
    <w:p w:rsidR="009A08F7" w:rsidRDefault="009A08F7" w:rsidP="009A08F7">
      <w:pPr>
        <w:rPr>
          <w:sz w:val="20"/>
          <w:szCs w:val="20"/>
        </w:rPr>
      </w:pPr>
    </w:p>
    <w:p w:rsidR="009A08F7" w:rsidRDefault="009A08F7" w:rsidP="009A08F7">
      <w:pPr>
        <w:numPr>
          <w:ilvl w:val="0"/>
          <w:numId w:val="1"/>
        </w:numPr>
      </w:pPr>
      <w:r>
        <w:t>Žádostí o přidělení bytu (dále jen žádost) se rozumí žádost o nájemní byt. Pro účely těchto zásad se bytem rozumí místnost nebo soubor místností, které jsou částí domu, tvoří obytný prostor a jsou určeny a užívány k účelu bydlení. Ujednají-li si pronajímatel s nájemcem, že k obývání bude pronajat jiný než obytný prostor, jsou strany zavázány stejně, jako by byl pronajat obytný prostor dle § 2236 Občanského zákoníku.</w:t>
      </w:r>
    </w:p>
    <w:p w:rsidR="009A08F7" w:rsidRDefault="009A08F7" w:rsidP="009A08F7">
      <w:pPr>
        <w:ind w:left="708"/>
        <w:rPr>
          <w:sz w:val="20"/>
          <w:szCs w:val="20"/>
        </w:rPr>
      </w:pPr>
    </w:p>
    <w:p w:rsidR="009A08F7" w:rsidRDefault="009A08F7" w:rsidP="009A08F7">
      <w:pPr>
        <w:numPr>
          <w:ilvl w:val="0"/>
          <w:numId w:val="1"/>
        </w:numPr>
      </w:pPr>
      <w:r>
        <w:t>Pro účely těchto zásad se za volný byt určený k přenechání do nájmu považuje:</w:t>
      </w:r>
    </w:p>
    <w:p w:rsidR="009A08F7" w:rsidRDefault="009A08F7" w:rsidP="009A08F7">
      <w:pPr>
        <w:numPr>
          <w:ilvl w:val="3"/>
          <w:numId w:val="0"/>
        </w:numPr>
        <w:tabs>
          <w:tab w:val="num" w:pos="1069"/>
        </w:tabs>
        <w:ind w:left="1080" w:hanging="360"/>
      </w:pPr>
      <w:r>
        <w:t>byt, jehož stav dovoluje okamžité nastěhování nebo byt, ve kterém je nutné provést před nastěhováním stavební úpravy, případně rekonstrukce,</w:t>
      </w:r>
    </w:p>
    <w:p w:rsidR="009A08F7" w:rsidRDefault="009A08F7" w:rsidP="009A08F7">
      <w:pPr>
        <w:numPr>
          <w:ilvl w:val="3"/>
          <w:numId w:val="0"/>
        </w:numPr>
        <w:tabs>
          <w:tab w:val="num" w:pos="1069"/>
        </w:tabs>
        <w:ind w:left="1080" w:hanging="360"/>
      </w:pPr>
      <w:r>
        <w:t>byt, jehož nájemce zemřel, opustil trvale byt a nevznikl zákonný důvod k přechodu nájmu na jinou osobu.</w:t>
      </w:r>
    </w:p>
    <w:p w:rsidR="009A08F7" w:rsidRDefault="009A08F7" w:rsidP="009A08F7">
      <w:pPr>
        <w:jc w:val="both"/>
      </w:pPr>
    </w:p>
    <w:p w:rsidR="009A08F7" w:rsidRDefault="009A08F7" w:rsidP="009A08F7">
      <w:pPr>
        <w:jc w:val="both"/>
      </w:pPr>
    </w:p>
    <w:p w:rsidR="009A08F7" w:rsidRDefault="009A08F7" w:rsidP="009A08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II. Podání a evidence žádostí</w:t>
      </w:r>
    </w:p>
    <w:p w:rsidR="009A08F7" w:rsidRDefault="009A08F7" w:rsidP="009A08F7">
      <w:pPr>
        <w:ind w:left="360"/>
        <w:jc w:val="both"/>
        <w:rPr>
          <w:sz w:val="20"/>
          <w:szCs w:val="20"/>
        </w:rPr>
      </w:pPr>
    </w:p>
    <w:p w:rsidR="009A08F7" w:rsidRDefault="009A08F7" w:rsidP="009A08F7">
      <w:pPr>
        <w:numPr>
          <w:ilvl w:val="0"/>
          <w:numId w:val="2"/>
        </w:numPr>
      </w:pPr>
      <w:r>
        <w:t>Žadatel (fyzická nebo právnická osoba), který se uchází o nájem bytu, podává žádost na MěÚ, finančním odboru.</w:t>
      </w:r>
    </w:p>
    <w:p w:rsidR="009A08F7" w:rsidRDefault="009A08F7" w:rsidP="009A08F7">
      <w:pPr>
        <w:ind w:left="360"/>
        <w:rPr>
          <w:sz w:val="20"/>
          <w:szCs w:val="20"/>
        </w:rPr>
      </w:pPr>
    </w:p>
    <w:p w:rsidR="009A08F7" w:rsidRDefault="009A08F7" w:rsidP="009A08F7">
      <w:pPr>
        <w:numPr>
          <w:ilvl w:val="2"/>
          <w:numId w:val="0"/>
        </w:numPr>
        <w:tabs>
          <w:tab w:val="num" w:pos="2340"/>
        </w:tabs>
        <w:ind w:left="720" w:hanging="360"/>
      </w:pPr>
      <w:r>
        <w:t>Žadatel – fyzická osoba je občan ČR způsobilý k právnímu jednání, nebo občan zastoupený opatrovníkem, který:</w:t>
      </w:r>
    </w:p>
    <w:p w:rsidR="009A08F7" w:rsidRDefault="009A08F7" w:rsidP="009A08F7">
      <w:pPr>
        <w:pStyle w:val="Zkladntextodsazen"/>
        <w:numPr>
          <w:ilvl w:val="3"/>
          <w:numId w:val="0"/>
        </w:numPr>
        <w:tabs>
          <w:tab w:val="num" w:pos="1069"/>
        </w:tabs>
        <w:ind w:left="1080" w:hanging="360"/>
        <w:jc w:val="left"/>
      </w:pPr>
      <w:r>
        <w:lastRenderedPageBreak/>
        <w:t>výlučně nevlastní byt ani dům a nemá uzavřenou nájemní smlouvu na byt na dobu neurčitou (týká se i manžela, manželky),</w:t>
      </w:r>
    </w:p>
    <w:p w:rsidR="009A08F7" w:rsidRDefault="009A08F7" w:rsidP="009A08F7">
      <w:pPr>
        <w:pStyle w:val="Zkladntextodsazen"/>
        <w:numPr>
          <w:ilvl w:val="3"/>
          <w:numId w:val="0"/>
        </w:numPr>
        <w:tabs>
          <w:tab w:val="num" w:pos="1069"/>
        </w:tabs>
        <w:ind w:left="1080" w:hanging="360"/>
        <w:jc w:val="left"/>
      </w:pPr>
      <w:r>
        <w:t>nemá žádné dluhy vůči městu Světlá nad Sázavou ani dluhy vůči organizacím zřizovaným městem Světlá nad Sázavou,</w:t>
      </w:r>
    </w:p>
    <w:p w:rsidR="009A08F7" w:rsidRDefault="009A08F7" w:rsidP="009A08F7">
      <w:pPr>
        <w:pStyle w:val="Zkladntextodsazen"/>
        <w:numPr>
          <w:ilvl w:val="3"/>
          <w:numId w:val="0"/>
        </w:numPr>
        <w:tabs>
          <w:tab w:val="num" w:pos="1069"/>
        </w:tabs>
        <w:ind w:left="1080" w:hanging="360"/>
        <w:jc w:val="left"/>
      </w:pPr>
      <w:r>
        <w:t>má dostatek finančních prostředků na úhradu nájemného, služeb spojených s užíváním bytu a energií,</w:t>
      </w:r>
    </w:p>
    <w:p w:rsidR="009A08F7" w:rsidRDefault="009A08F7" w:rsidP="009A08F7">
      <w:pPr>
        <w:pStyle w:val="Zkladntextodsazen"/>
        <w:numPr>
          <w:ilvl w:val="3"/>
          <w:numId w:val="0"/>
        </w:numPr>
        <w:tabs>
          <w:tab w:val="num" w:pos="1069"/>
        </w:tabs>
        <w:ind w:left="1080" w:hanging="360"/>
        <w:jc w:val="left"/>
      </w:pPr>
      <w:r>
        <w:t>dodá k žádosti všechny požadované doklady.</w:t>
      </w:r>
    </w:p>
    <w:p w:rsidR="009A08F7" w:rsidRDefault="009A08F7" w:rsidP="009A08F7">
      <w:pPr>
        <w:pStyle w:val="Zkladntextodsazen"/>
        <w:rPr>
          <w:b/>
          <w:sz w:val="20"/>
          <w:szCs w:val="20"/>
        </w:rPr>
      </w:pPr>
    </w:p>
    <w:p w:rsidR="009A08F7" w:rsidRDefault="009A08F7" w:rsidP="009A08F7">
      <w:pPr>
        <w:pStyle w:val="Zkladntextodsazen2"/>
        <w:jc w:val="left"/>
      </w:pPr>
      <w:r>
        <w:t>3) Žádost splňující náležitosti článku II. odst. 2 je evidována a je k nahlédnutí na finančním odboru MěÚ (bytová agenda). Po projednání žádosti v BK je žádost s bodovým hodnocením vedena v seznamu žadatelů podle evidenčního čísla.</w:t>
      </w:r>
    </w:p>
    <w:p w:rsidR="009A08F7" w:rsidRDefault="009A08F7" w:rsidP="009A08F7">
      <w:pPr>
        <w:pStyle w:val="Zkladntextodsazen2"/>
        <w:ind w:left="360" w:firstLine="0"/>
        <w:jc w:val="left"/>
      </w:pPr>
      <w:r>
        <w:t xml:space="preserve">      Následné roztřídění je provedeno ve dvou samostatných seznamech podle počtu členů     </w:t>
      </w:r>
    </w:p>
    <w:p w:rsidR="009A08F7" w:rsidRDefault="009A08F7" w:rsidP="009A08F7">
      <w:pPr>
        <w:pStyle w:val="Zkladntextodsazen2"/>
        <w:ind w:left="360" w:firstLine="0"/>
        <w:jc w:val="left"/>
      </w:pPr>
      <w:r>
        <w:t xml:space="preserve">      domácnosti:</w:t>
      </w:r>
    </w:p>
    <w:p w:rsidR="009A08F7" w:rsidRDefault="009A08F7" w:rsidP="009A08F7">
      <w:pPr>
        <w:pStyle w:val="Zkladntextodsazen2"/>
        <w:numPr>
          <w:ilvl w:val="0"/>
          <w:numId w:val="3"/>
        </w:numPr>
        <w:jc w:val="left"/>
      </w:pPr>
      <w:r>
        <w:t xml:space="preserve"> velikost bytu 1+1 a menší – počet členů domácnosti 1 nebo 2,</w:t>
      </w:r>
    </w:p>
    <w:p w:rsidR="009A08F7" w:rsidRDefault="009A08F7" w:rsidP="009A08F7">
      <w:pPr>
        <w:pStyle w:val="Zkladntextodsazen2"/>
        <w:numPr>
          <w:ilvl w:val="0"/>
          <w:numId w:val="3"/>
        </w:numPr>
        <w:jc w:val="left"/>
      </w:pPr>
      <w:r>
        <w:t xml:space="preserve"> velikost bytu 1+2 a větší – počet členů domácnosti 3 a více.</w:t>
      </w:r>
    </w:p>
    <w:p w:rsidR="009A08F7" w:rsidRDefault="009A08F7" w:rsidP="009A08F7">
      <w:pPr>
        <w:pStyle w:val="Zkladntextodsazen3"/>
        <w:jc w:val="left"/>
      </w:pPr>
      <w:r>
        <w:t xml:space="preserve">      Žadatel umístěný v seznamu na větší byt může být na vlastní žádost zařazen do   </w:t>
      </w:r>
    </w:p>
    <w:p w:rsidR="009A08F7" w:rsidRDefault="009A08F7" w:rsidP="009A08F7">
      <w:pPr>
        <w:pStyle w:val="Zkladntextodsazen3"/>
        <w:jc w:val="left"/>
      </w:pPr>
      <w:r>
        <w:t xml:space="preserve">      seznamu na menší byt.</w:t>
      </w:r>
    </w:p>
    <w:p w:rsidR="009A08F7" w:rsidRDefault="009A08F7" w:rsidP="009A08F7">
      <w:pPr>
        <w:ind w:left="360"/>
        <w:jc w:val="both"/>
        <w:rPr>
          <w:sz w:val="20"/>
          <w:szCs w:val="20"/>
        </w:rPr>
      </w:pPr>
    </w:p>
    <w:p w:rsidR="009A08F7" w:rsidRDefault="009A08F7" w:rsidP="009A08F7">
      <w:pPr>
        <w:numPr>
          <w:ilvl w:val="1"/>
          <w:numId w:val="3"/>
        </w:numPr>
        <w:tabs>
          <w:tab w:val="num" w:pos="720"/>
        </w:tabs>
        <w:ind w:left="720"/>
      </w:pPr>
      <w:r>
        <w:t xml:space="preserve">Žadatel je povinen žádost na finančním odboru MěÚ </w:t>
      </w:r>
      <w:r>
        <w:rPr>
          <w:b/>
          <w:bCs/>
        </w:rPr>
        <w:t>každoročně obnovovat, a to vždy v době od 1. ledna do 31. ledna.</w:t>
      </w:r>
      <w:r>
        <w:t xml:space="preserve"> Neobnovené žádosti budou po tomto termínu bez odvolání vyřazeny z evidence. Obnovení žádosti je možné podat osobně nebo písemně s prohlášením, zda údaje v žádosti platí nebo nastaly změny a jaké.</w:t>
      </w:r>
    </w:p>
    <w:p w:rsidR="009A08F7" w:rsidRDefault="009A08F7" w:rsidP="009A08F7">
      <w:pPr>
        <w:ind w:left="720"/>
      </w:pPr>
      <w:r>
        <w:t xml:space="preserve">Žadatel má povinnost aktualizovat skutečnosti uvedené v žádosti, pokud dojde k </w:t>
      </w:r>
    </w:p>
    <w:p w:rsidR="009A08F7" w:rsidRDefault="009A08F7" w:rsidP="009A08F7">
      <w:pPr>
        <w:ind w:left="360"/>
      </w:pPr>
      <w:r>
        <w:t xml:space="preserve">      jejich podstatným změnám, zejména ztrátě nebo výraznému poklesu příjmů, </w:t>
      </w:r>
    </w:p>
    <w:p w:rsidR="009A08F7" w:rsidRDefault="009A08F7" w:rsidP="009A08F7">
      <w:pPr>
        <w:ind w:left="360"/>
      </w:pPr>
      <w:r>
        <w:t xml:space="preserve">      změně počtu příslušníků, kteří se nastěhují apod.</w:t>
      </w:r>
    </w:p>
    <w:p w:rsidR="009A08F7" w:rsidRDefault="009A08F7" w:rsidP="009A08F7">
      <w:pPr>
        <w:ind w:left="360"/>
        <w:rPr>
          <w:sz w:val="20"/>
          <w:szCs w:val="20"/>
        </w:rPr>
      </w:pPr>
    </w:p>
    <w:p w:rsidR="009A08F7" w:rsidRDefault="009A08F7" w:rsidP="009A08F7">
      <w:pPr>
        <w:numPr>
          <w:ilvl w:val="1"/>
          <w:numId w:val="3"/>
        </w:numPr>
        <w:tabs>
          <w:tab w:val="num" w:pos="720"/>
        </w:tabs>
        <w:ind w:left="720"/>
      </w:pPr>
      <w:r>
        <w:t>Žadatel může s písemným odůvodněním 1x odmítnou uzavřít nájemní smlouvu na přiměřený byt s tím, že jeho žádost zůstává zařazena v evidenci bez postihu. Druhé odmítnutí nabízeného bytu znamená automatické vyřazení z evidence. Opětovné podání žádosti bude žadateli (či jeho rodinným příslušníkům, kteří by s ním sdíleli domácnost) umožněno po uplynutí lhůty 1 rok od vyřazení žádosti.</w:t>
      </w:r>
    </w:p>
    <w:p w:rsidR="009A08F7" w:rsidRDefault="009A08F7" w:rsidP="009A08F7">
      <w:pPr>
        <w:rPr>
          <w:sz w:val="20"/>
          <w:szCs w:val="20"/>
        </w:rPr>
      </w:pPr>
    </w:p>
    <w:p w:rsidR="009A08F7" w:rsidRDefault="009A08F7" w:rsidP="009A08F7">
      <w:pPr>
        <w:numPr>
          <w:ilvl w:val="1"/>
          <w:numId w:val="3"/>
        </w:numPr>
        <w:tabs>
          <w:tab w:val="num" w:pos="720"/>
        </w:tabs>
        <w:ind w:left="720"/>
      </w:pPr>
      <w:r>
        <w:t>Žádost nebude zařazena, popřípadě následně vyřazena ze seznamu žádostí v případě:</w:t>
      </w:r>
    </w:p>
    <w:p w:rsidR="009A08F7" w:rsidRDefault="009A08F7" w:rsidP="009A08F7">
      <w:pPr>
        <w:numPr>
          <w:ilvl w:val="0"/>
          <w:numId w:val="4"/>
        </w:numPr>
      </w:pPr>
      <w:r>
        <w:t>nesplňuje-li podmínky pro podání žádosti dle čl. II odst. 2</w:t>
      </w:r>
    </w:p>
    <w:p w:rsidR="009A08F7" w:rsidRDefault="009A08F7" w:rsidP="009A08F7">
      <w:pPr>
        <w:numPr>
          <w:ilvl w:val="0"/>
          <w:numId w:val="4"/>
        </w:numPr>
      </w:pPr>
      <w:r>
        <w:t>je-li bytová potřeba žadatele vyřešena</w:t>
      </w:r>
    </w:p>
    <w:p w:rsidR="009A08F7" w:rsidRDefault="009A08F7" w:rsidP="009A08F7">
      <w:pPr>
        <w:numPr>
          <w:ilvl w:val="0"/>
          <w:numId w:val="4"/>
        </w:numPr>
      </w:pPr>
      <w:r>
        <w:t>zjistí-li se, že žadatel při podání žádosti nebo změně své žádosti vědomě uvedl nesprávné či neúplné údaje</w:t>
      </w:r>
    </w:p>
    <w:p w:rsidR="009A08F7" w:rsidRDefault="009A08F7" w:rsidP="009A08F7">
      <w:pPr>
        <w:numPr>
          <w:ilvl w:val="0"/>
          <w:numId w:val="4"/>
        </w:numPr>
      </w:pPr>
      <w:r>
        <w:t>v případě, že opakovaně bez vážných důvodů odmítne žadatel uzavřít nájemní smlouvu na byt přiměřený jeho žádosti nebo tuto bez vážných důvodů do 10-ti dnů ode dne doručení výzvy k podpisu nájemní smlouvy neuzavře. Odmítnutí bytu bude protokolárně zaznamenáno</w:t>
      </w:r>
    </w:p>
    <w:p w:rsidR="009A08F7" w:rsidRDefault="009A08F7" w:rsidP="009A08F7">
      <w:pPr>
        <w:numPr>
          <w:ilvl w:val="0"/>
          <w:numId w:val="4"/>
        </w:numPr>
      </w:pPr>
      <w:r>
        <w:t>v případě, že žadatel od své žádosti písemně odstoupí nebo v daném termínu žádost neobnoví.</w:t>
      </w:r>
    </w:p>
    <w:p w:rsidR="009A08F7" w:rsidRDefault="009A08F7" w:rsidP="009A08F7">
      <w:pPr>
        <w:ind w:left="708"/>
        <w:rPr>
          <w:sz w:val="20"/>
          <w:szCs w:val="20"/>
        </w:rPr>
      </w:pPr>
    </w:p>
    <w:p w:rsidR="009A08F7" w:rsidRDefault="009A08F7" w:rsidP="009A08F7">
      <w:pPr>
        <w:numPr>
          <w:ilvl w:val="1"/>
          <w:numId w:val="3"/>
        </w:numPr>
        <w:tabs>
          <w:tab w:val="num" w:pos="720"/>
        </w:tabs>
        <w:ind w:left="720"/>
      </w:pPr>
      <w:r>
        <w:t>O vyřazení ze seznamu žadatelů nebo nezařazení žádosti bude žadatel písemně vyrozuměn. V případě nesouhlasu se stanoviskem BK může žadatel požádat o další projednání své žádosti RM.</w:t>
      </w:r>
    </w:p>
    <w:p w:rsidR="009A08F7" w:rsidRDefault="009A08F7" w:rsidP="009A08F7">
      <w:pPr>
        <w:ind w:left="360"/>
        <w:jc w:val="both"/>
        <w:rPr>
          <w:szCs w:val="20"/>
        </w:rPr>
      </w:pPr>
    </w:p>
    <w:p w:rsidR="009A08F7" w:rsidRDefault="009A08F7" w:rsidP="009A08F7">
      <w:pPr>
        <w:jc w:val="both"/>
        <w:rPr>
          <w:szCs w:val="20"/>
        </w:rPr>
      </w:pPr>
    </w:p>
    <w:p w:rsidR="009A08F7" w:rsidRDefault="009A08F7" w:rsidP="009A08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III. Hodnocení žádostí – stanovení pořadí v rámci seznamu.</w:t>
      </w:r>
    </w:p>
    <w:p w:rsidR="009A08F7" w:rsidRDefault="009A08F7" w:rsidP="009A08F7">
      <w:pPr>
        <w:pStyle w:val="Zkladntextodsazen2"/>
        <w:numPr>
          <w:ilvl w:val="0"/>
          <w:numId w:val="5"/>
        </w:numPr>
        <w:tabs>
          <w:tab w:val="left" w:pos="720"/>
        </w:tabs>
        <w:jc w:val="left"/>
      </w:pPr>
      <w:r>
        <w:t xml:space="preserve">Každá žádost se hodnotí bodovacím systémem dle kritérií stanovených těmito </w:t>
      </w:r>
    </w:p>
    <w:p w:rsidR="009A08F7" w:rsidRDefault="009A08F7" w:rsidP="009A08F7">
      <w:pPr>
        <w:pStyle w:val="Zkladntextodsazen2"/>
        <w:tabs>
          <w:tab w:val="left" w:pos="720"/>
        </w:tabs>
        <w:ind w:firstLine="0"/>
        <w:jc w:val="left"/>
      </w:pPr>
      <w:r>
        <w:lastRenderedPageBreak/>
        <w:t>zásadami. Konečný součet bodů určuje pořadí v seznamu žadatelů. Hodnocení žádostí a stanovení bodů provádí BK.</w:t>
      </w:r>
    </w:p>
    <w:p w:rsidR="009A08F7" w:rsidRDefault="009A08F7" w:rsidP="009A08F7">
      <w:pPr>
        <w:pStyle w:val="Zkladntextodsazen2"/>
        <w:numPr>
          <w:ilvl w:val="0"/>
          <w:numId w:val="5"/>
        </w:numPr>
        <w:tabs>
          <w:tab w:val="left" w:pos="720"/>
        </w:tabs>
      </w:pPr>
      <w:r>
        <w:t>Kritéria pro určení pořadí v seznamu žadatelů jsou:</w:t>
      </w:r>
    </w:p>
    <w:p w:rsidR="009A08F7" w:rsidRDefault="009A08F7" w:rsidP="009A08F7">
      <w:pPr>
        <w:pStyle w:val="Zkladntextodsazen2"/>
        <w:tabs>
          <w:tab w:val="left" w:pos="720"/>
        </w:tabs>
        <w:ind w:left="360" w:firstLine="0"/>
      </w:pPr>
      <w:r>
        <w:tab/>
        <w:t xml:space="preserve">a) Počet dětí do 18-ti let nebo nezaopatřených nad 18 let, které se </w:t>
      </w:r>
    </w:p>
    <w:p w:rsidR="009A08F7" w:rsidRDefault="009A08F7" w:rsidP="009A08F7">
      <w:pPr>
        <w:pStyle w:val="Zkladntextodsazen2"/>
        <w:tabs>
          <w:tab w:val="left" w:pos="720"/>
        </w:tabs>
        <w:ind w:left="0" w:firstLine="0"/>
      </w:pPr>
      <w:r>
        <w:t xml:space="preserve">                s žadatelem nastěhují do nového bytu </w:t>
      </w:r>
    </w:p>
    <w:p w:rsidR="009A08F7" w:rsidRDefault="009A08F7" w:rsidP="009A08F7">
      <w:pPr>
        <w:pStyle w:val="Zkladntextodsazen2"/>
        <w:numPr>
          <w:ilvl w:val="0"/>
          <w:numId w:val="6"/>
        </w:numPr>
        <w:tabs>
          <w:tab w:val="left" w:pos="720"/>
        </w:tabs>
        <w:ind w:left="1440"/>
        <w:jc w:val="left"/>
      </w:pPr>
      <w:r>
        <w:t>1 dítě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Cs/>
        </w:rPr>
        <w:t>1 bod</w:t>
      </w:r>
    </w:p>
    <w:p w:rsidR="009A08F7" w:rsidRDefault="009A08F7" w:rsidP="009A08F7">
      <w:pPr>
        <w:pStyle w:val="Zkladntextodsazen2"/>
        <w:numPr>
          <w:ilvl w:val="0"/>
          <w:numId w:val="6"/>
        </w:numPr>
        <w:tabs>
          <w:tab w:val="left" w:pos="720"/>
        </w:tabs>
        <w:ind w:left="1440"/>
        <w:jc w:val="left"/>
        <w:rPr>
          <w:bCs/>
        </w:rPr>
      </w:pPr>
      <w:r>
        <w:t>2 děti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Cs/>
        </w:rPr>
        <w:t>3 body</w:t>
      </w:r>
    </w:p>
    <w:p w:rsidR="009A08F7" w:rsidRDefault="009A08F7" w:rsidP="009A08F7">
      <w:pPr>
        <w:pStyle w:val="Zkladntextodsazen2"/>
        <w:numPr>
          <w:ilvl w:val="0"/>
          <w:numId w:val="6"/>
        </w:numPr>
        <w:tabs>
          <w:tab w:val="left" w:pos="720"/>
        </w:tabs>
        <w:ind w:left="1440"/>
        <w:jc w:val="left"/>
      </w:pPr>
      <w:r>
        <w:t>3 děti a více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Cs/>
        </w:rPr>
        <w:t>4 body</w:t>
      </w:r>
    </w:p>
    <w:p w:rsidR="009A08F7" w:rsidRDefault="009A08F7" w:rsidP="009A08F7">
      <w:pPr>
        <w:pStyle w:val="Zkladntextodsazen2"/>
        <w:tabs>
          <w:tab w:val="left" w:pos="720"/>
        </w:tabs>
        <w:ind w:left="1080" w:hanging="720"/>
      </w:pPr>
      <w:r>
        <w:tab/>
        <w:t xml:space="preserve">b) Finanční stabilita před podáním žádosti a dle aktualizace, zajištění </w:t>
      </w:r>
    </w:p>
    <w:p w:rsidR="009A08F7" w:rsidRDefault="009A08F7" w:rsidP="009A08F7">
      <w:pPr>
        <w:pStyle w:val="Zkladntextodsazen2"/>
        <w:tabs>
          <w:tab w:val="left" w:pos="720"/>
        </w:tabs>
        <w:ind w:left="1080" w:hanging="720"/>
      </w:pPr>
      <w:r>
        <w:t xml:space="preserve">           úhrady nákladů na bydlení</w:t>
      </w:r>
    </w:p>
    <w:p w:rsidR="009A08F7" w:rsidRDefault="009A08F7" w:rsidP="009A08F7">
      <w:pPr>
        <w:pStyle w:val="Zkladntextodsazen2"/>
        <w:numPr>
          <w:ilvl w:val="0"/>
          <w:numId w:val="6"/>
        </w:numPr>
        <w:tabs>
          <w:tab w:val="left" w:pos="720"/>
        </w:tabs>
        <w:ind w:left="1440"/>
        <w:jc w:val="left"/>
      </w:pPr>
      <w:r>
        <w:t xml:space="preserve">dostatečné vlastní příjmy ze závislé činnosti, samostatné </w:t>
      </w:r>
    </w:p>
    <w:p w:rsidR="009A08F7" w:rsidRDefault="009A08F7" w:rsidP="009A08F7">
      <w:pPr>
        <w:pStyle w:val="Zkladntextodsazen2"/>
        <w:tabs>
          <w:tab w:val="left" w:pos="720"/>
        </w:tabs>
        <w:ind w:left="1440" w:firstLine="0"/>
        <w:jc w:val="left"/>
      </w:pPr>
      <w:r>
        <w:t xml:space="preserve">výdělečné činnosti nebo pojistných sociálních dávek </w:t>
      </w:r>
    </w:p>
    <w:p w:rsidR="009A08F7" w:rsidRDefault="009A08F7" w:rsidP="009A08F7">
      <w:pPr>
        <w:pStyle w:val="Zkladntextodsazen2"/>
        <w:tabs>
          <w:tab w:val="left" w:pos="720"/>
        </w:tabs>
        <w:ind w:left="1440" w:firstLine="0"/>
        <w:jc w:val="left"/>
      </w:pPr>
      <w:r>
        <w:t xml:space="preserve">(nemocenská, peněžitá pomoc v mateřství, důchody),  </w:t>
      </w:r>
    </w:p>
    <w:p w:rsidR="009A08F7" w:rsidRDefault="009A08F7" w:rsidP="009A08F7">
      <w:pPr>
        <w:pStyle w:val="Zkladntextodsazen2"/>
        <w:tabs>
          <w:tab w:val="left" w:pos="720"/>
        </w:tabs>
        <w:ind w:left="1440" w:firstLine="0"/>
        <w:jc w:val="left"/>
      </w:pPr>
      <w:r>
        <w:t xml:space="preserve">případně kombinace s nepojistnými soc. dávkami (SSP, HN)             4 body                                                                                                    </w:t>
      </w:r>
    </w:p>
    <w:p w:rsidR="009A08F7" w:rsidRDefault="009A08F7" w:rsidP="009A08F7">
      <w:pPr>
        <w:pStyle w:val="Zkladntextodsazen2"/>
        <w:numPr>
          <w:ilvl w:val="0"/>
          <w:numId w:val="7"/>
        </w:numPr>
        <w:tabs>
          <w:tab w:val="left" w:pos="720"/>
        </w:tabs>
        <w:ind w:left="1440"/>
        <w:jc w:val="left"/>
      </w:pPr>
      <w:r>
        <w:t>nedostatečné příjmy ze závislé činnosti, samostatné výdělečné</w:t>
      </w:r>
    </w:p>
    <w:p w:rsidR="009A08F7" w:rsidRDefault="009A08F7" w:rsidP="009A08F7">
      <w:pPr>
        <w:pStyle w:val="Zkladntextodsazen2"/>
        <w:tabs>
          <w:tab w:val="left" w:pos="720"/>
        </w:tabs>
        <w:ind w:left="1440" w:firstLine="0"/>
        <w:jc w:val="left"/>
      </w:pPr>
      <w:r>
        <w:t xml:space="preserve"> činnosti a pojistných sociálních dávek kombinované </w:t>
      </w:r>
    </w:p>
    <w:p w:rsidR="009A08F7" w:rsidRDefault="009A08F7" w:rsidP="009A08F7">
      <w:pPr>
        <w:pStyle w:val="Zkladntextodsazen2"/>
        <w:tabs>
          <w:tab w:val="left" w:pos="720"/>
        </w:tabs>
        <w:ind w:left="1440" w:firstLine="0"/>
        <w:jc w:val="left"/>
      </w:pPr>
      <w:r>
        <w:t xml:space="preserve">s nepojistnými dávkami                                                                        2 body                                                                                                                       </w:t>
      </w:r>
    </w:p>
    <w:p w:rsidR="009A08F7" w:rsidRDefault="009A08F7" w:rsidP="009A08F7">
      <w:pPr>
        <w:pStyle w:val="Zkladntextodsazen2"/>
        <w:numPr>
          <w:ilvl w:val="0"/>
          <w:numId w:val="8"/>
        </w:numPr>
        <w:tabs>
          <w:tab w:val="left" w:pos="720"/>
        </w:tabs>
        <w:ind w:left="1440"/>
        <w:jc w:val="left"/>
      </w:pPr>
      <w:r>
        <w:t>příjmy jen z nepojistných sociálních dávek                                          1 bod</w:t>
      </w:r>
    </w:p>
    <w:p w:rsidR="009A08F7" w:rsidRDefault="009A08F7" w:rsidP="009A08F7">
      <w:pPr>
        <w:pStyle w:val="Zkladntextodsazen2"/>
        <w:tabs>
          <w:tab w:val="left" w:pos="720"/>
        </w:tabs>
        <w:ind w:firstLine="0"/>
      </w:pPr>
    </w:p>
    <w:p w:rsidR="009A08F7" w:rsidRDefault="009A08F7" w:rsidP="009A08F7">
      <w:pPr>
        <w:pStyle w:val="Zkladntextodsazen2"/>
        <w:tabs>
          <w:tab w:val="left" w:pos="720"/>
        </w:tabs>
        <w:ind w:firstLine="0"/>
      </w:pPr>
      <w:r>
        <w:t>c) Délka podání žádosti – za každý ukončený rok od data</w:t>
      </w:r>
    </w:p>
    <w:p w:rsidR="009A08F7" w:rsidRDefault="009A08F7" w:rsidP="009A08F7">
      <w:pPr>
        <w:pStyle w:val="Zkladntextodsazen2"/>
        <w:tabs>
          <w:tab w:val="left" w:pos="720"/>
        </w:tabs>
        <w:ind w:firstLine="0"/>
      </w:pPr>
      <w:r>
        <w:t xml:space="preserve">    podání žádosti                                                                                                </w:t>
      </w:r>
      <w:r>
        <w:rPr>
          <w:bCs/>
        </w:rPr>
        <w:t>l bod</w:t>
      </w:r>
    </w:p>
    <w:p w:rsidR="009A08F7" w:rsidRDefault="009A08F7" w:rsidP="009A08F7">
      <w:pPr>
        <w:ind w:left="1080" w:hanging="360"/>
        <w:jc w:val="both"/>
      </w:pPr>
    </w:p>
    <w:p w:rsidR="009A08F7" w:rsidRDefault="009A08F7" w:rsidP="009A08F7">
      <w:pPr>
        <w:rPr>
          <w:bCs/>
          <w:color w:val="FF0000"/>
        </w:rPr>
      </w:pPr>
    </w:p>
    <w:p w:rsidR="009A08F7" w:rsidRDefault="009A08F7" w:rsidP="009A08F7">
      <w:pPr>
        <w:pStyle w:val="Nadpis1"/>
        <w:tabs>
          <w:tab w:val="left" w:pos="708"/>
        </w:tabs>
        <w:ind w:left="360" w:firstLine="348"/>
        <w:rPr>
          <w:rFonts w:eastAsia="Calibri"/>
          <w:b w:val="0"/>
          <w:color w:val="auto"/>
          <w:lang w:eastAsia="en-US"/>
        </w:rPr>
      </w:pPr>
      <w:r>
        <w:rPr>
          <w:rFonts w:eastAsia="Calibri"/>
          <w:b w:val="0"/>
          <w:lang w:eastAsia="en-US"/>
        </w:rPr>
        <w:t xml:space="preserve">d) Trvalý pobyt a faktické bydliště (TP, FB) dle žadatele nebo příslušníka, </w:t>
      </w:r>
    </w:p>
    <w:p w:rsidR="009A08F7" w:rsidRDefault="009A08F7" w:rsidP="009A08F7">
      <w:pPr>
        <w:pStyle w:val="Nadpis1"/>
        <w:tabs>
          <w:tab w:val="left" w:pos="708"/>
        </w:tabs>
        <w:ind w:left="1080" w:hanging="720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který se nastěhuje do nového bytu, s nejvyšším počtem bodů   </w:t>
      </w:r>
    </w:p>
    <w:p w:rsidR="009A08F7" w:rsidRDefault="009A08F7" w:rsidP="009A08F7">
      <w:pPr>
        <w:pStyle w:val="Zkladntextodsazen2"/>
        <w:numPr>
          <w:ilvl w:val="0"/>
          <w:numId w:val="6"/>
        </w:numPr>
        <w:tabs>
          <w:tab w:val="left" w:pos="720"/>
        </w:tabs>
        <w:ind w:left="144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TP + FB na území města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4 body</w:t>
      </w:r>
    </w:p>
    <w:p w:rsidR="009A08F7" w:rsidRDefault="009A08F7" w:rsidP="009A08F7">
      <w:pPr>
        <w:pStyle w:val="Zkladntextodsazen2"/>
        <w:numPr>
          <w:ilvl w:val="0"/>
          <w:numId w:val="6"/>
        </w:numPr>
        <w:tabs>
          <w:tab w:val="left" w:pos="720"/>
        </w:tabs>
        <w:ind w:left="144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FB na území města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3 body</w:t>
      </w:r>
    </w:p>
    <w:p w:rsidR="009A08F7" w:rsidRDefault="009A08F7" w:rsidP="009A08F7">
      <w:pPr>
        <w:pStyle w:val="Zkladntextodsazen2"/>
        <w:numPr>
          <w:ilvl w:val="0"/>
          <w:numId w:val="6"/>
        </w:numPr>
        <w:tabs>
          <w:tab w:val="left" w:pos="720"/>
        </w:tabs>
        <w:ind w:left="144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TP + FB ve správním obvodu ORP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1 bod</w:t>
      </w:r>
    </w:p>
    <w:p w:rsidR="009A08F7" w:rsidRDefault="009A08F7" w:rsidP="009A08F7">
      <w:pPr>
        <w:pStyle w:val="Zkladntextodsazen2"/>
        <w:numPr>
          <w:ilvl w:val="0"/>
          <w:numId w:val="6"/>
        </w:numPr>
        <w:tabs>
          <w:tab w:val="left" w:pos="720"/>
        </w:tabs>
        <w:ind w:left="144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FB ve správním obvodu ORP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1 bod </w:t>
      </w:r>
    </w:p>
    <w:p w:rsidR="009A08F7" w:rsidRDefault="009A08F7" w:rsidP="009A08F7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- ostatní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0 bodů</w:t>
      </w:r>
    </w:p>
    <w:p w:rsidR="009A08F7" w:rsidRDefault="009A08F7" w:rsidP="009A08F7">
      <w:pPr>
        <w:ind w:left="708"/>
        <w:rPr>
          <w:rFonts w:eastAsia="Calibri"/>
          <w:lang w:eastAsia="en-US"/>
        </w:rPr>
      </w:pPr>
    </w:p>
    <w:p w:rsidR="009A08F7" w:rsidRDefault="009A08F7" w:rsidP="009A08F7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>e) Dosavadní nájemní historie (placení nájmu, vybydlenost bytu apod.)</w:t>
      </w:r>
    </w:p>
    <w:p w:rsidR="009A08F7" w:rsidRDefault="009A08F7" w:rsidP="009A08F7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- bez závad nebo nebyl užíván nájemní byt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4 body</w:t>
      </w:r>
    </w:p>
    <w:p w:rsidR="009A08F7" w:rsidRDefault="009A08F7" w:rsidP="009A08F7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- s mírnými závadami (smlouva podmíněna spoluprací se sociálními  </w:t>
      </w:r>
    </w:p>
    <w:p w:rsidR="009A08F7" w:rsidRDefault="009A08F7" w:rsidP="009A08F7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pracovníky obce nebo sociální službou)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2 body</w:t>
      </w:r>
    </w:p>
    <w:p w:rsidR="009A08F7" w:rsidRDefault="009A08F7" w:rsidP="009A08F7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- se závadami (smlouva podmíněna spoluprací se sociálními </w:t>
      </w:r>
    </w:p>
    <w:p w:rsidR="009A08F7" w:rsidRDefault="009A08F7" w:rsidP="009A08F7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pracovníky obce nebo sociální službou)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0 bodů</w:t>
      </w:r>
    </w:p>
    <w:p w:rsidR="009A08F7" w:rsidRDefault="009A08F7" w:rsidP="009A08F7">
      <w:pPr>
        <w:rPr>
          <w:rFonts w:eastAsia="Calibri"/>
          <w:strike/>
          <w:color w:val="FF0000"/>
          <w:lang w:eastAsia="en-US"/>
        </w:rPr>
      </w:pPr>
    </w:p>
    <w:p w:rsidR="009A08F7" w:rsidRDefault="009A08F7" w:rsidP="009A08F7">
      <w:pPr>
        <w:ind w:left="1068"/>
        <w:jc w:val="both"/>
      </w:pPr>
    </w:p>
    <w:p w:rsidR="009A08F7" w:rsidRDefault="009A08F7" w:rsidP="009A08F7">
      <w:pPr>
        <w:numPr>
          <w:ilvl w:val="0"/>
          <w:numId w:val="5"/>
        </w:numPr>
      </w:pPr>
      <w:r>
        <w:t>V rámci prvého nebo druhého seznamu dle velikosti bytu se žádosti sestupně setřiďují podle celkového počtu bodů. V případě rovnosti bodů se řadí podle data podání žádosti a rozhodnutí BK.</w:t>
      </w:r>
    </w:p>
    <w:p w:rsidR="009A08F7" w:rsidRDefault="009A08F7" w:rsidP="009A08F7">
      <w:r>
        <w:t xml:space="preserve">            Aktualizace setřídění se provádí nejméně 1x za půl roku.</w:t>
      </w:r>
    </w:p>
    <w:p w:rsidR="009A08F7" w:rsidRDefault="009A08F7" w:rsidP="009A08F7">
      <w:pPr>
        <w:jc w:val="both"/>
        <w:rPr>
          <w:sz w:val="20"/>
          <w:szCs w:val="20"/>
        </w:rPr>
      </w:pPr>
    </w:p>
    <w:p w:rsidR="009A08F7" w:rsidRDefault="009A08F7" w:rsidP="009A08F7">
      <w:pPr>
        <w:ind w:left="360"/>
        <w:rPr>
          <w:rFonts w:eastAsia="Calibri"/>
          <w:strike/>
          <w:color w:val="FF0000"/>
          <w:lang w:eastAsia="en-US"/>
        </w:rPr>
      </w:pPr>
    </w:p>
    <w:p w:rsidR="009A08F7" w:rsidRDefault="009A08F7" w:rsidP="009A08F7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V případě uvolnění městského bytu, BK na svém jednání vybere ze seznamu žadatelů tři žadatele (jednoho hlavního, dva náhradníky). Poté provede v počtu 3 členů šetření ve stávajícím bydlišti žadatele, který byl vybrán jako první (hlavní). Pokud u tohoto žadatele nebudou zjištěny nedostatky pro přidělení bytu (ve smyslu úklid a čistota v bytě a společných prostorách, počet osob v bytě), další dva náhradníky již BK nenavštíví. </w:t>
      </w:r>
    </w:p>
    <w:p w:rsidR="009A08F7" w:rsidRDefault="009A08F7" w:rsidP="009A08F7">
      <w:pPr>
        <w:ind w:left="720"/>
        <w:jc w:val="both"/>
        <w:rPr>
          <w:b/>
          <w:bCs/>
          <w:color w:val="538135"/>
        </w:rPr>
      </w:pPr>
    </w:p>
    <w:p w:rsidR="009A08F7" w:rsidRDefault="009A08F7" w:rsidP="009A08F7">
      <w:pPr>
        <w:jc w:val="both"/>
        <w:rPr>
          <w:b/>
          <w:bCs/>
          <w:sz w:val="20"/>
          <w:szCs w:val="20"/>
          <w:u w:val="single"/>
        </w:rPr>
      </w:pPr>
    </w:p>
    <w:p w:rsidR="009A08F7" w:rsidRDefault="009A08F7" w:rsidP="009A08F7">
      <w:pPr>
        <w:jc w:val="center"/>
        <w:rPr>
          <w:u w:val="single"/>
        </w:rPr>
      </w:pPr>
      <w:r>
        <w:rPr>
          <w:b/>
          <w:bCs/>
          <w:u w:val="single"/>
        </w:rPr>
        <w:t>IV. Uzavírání nájemních smluv mimo stanovené pořadí</w:t>
      </w:r>
    </w:p>
    <w:p w:rsidR="009A08F7" w:rsidRDefault="009A08F7" w:rsidP="009A08F7">
      <w:r>
        <w:t xml:space="preserve">      Pro tyto byty neplatí ustanovení těchto „Zásad“:</w:t>
      </w:r>
    </w:p>
    <w:p w:rsidR="009A08F7" w:rsidRDefault="009A08F7" w:rsidP="009A08F7">
      <w:pPr>
        <w:numPr>
          <w:ilvl w:val="0"/>
          <w:numId w:val="9"/>
        </w:numPr>
      </w:pPr>
      <w:r>
        <w:t xml:space="preserve">Na zrekonstruované byty s novým nájemníkem a nové byty s výjimkou dopředu určených bytů charakteru sociálního může být nájemní smlouva uzavřena na základě podmínek (výše finanční spoluúčasti hrazenou nájemcem, další podmínky přidělení uvedených bytů) stanovených usnesením RM nebo ZM. </w:t>
      </w:r>
    </w:p>
    <w:p w:rsidR="009A08F7" w:rsidRDefault="009A08F7" w:rsidP="009A08F7">
      <w:pPr>
        <w:numPr>
          <w:ilvl w:val="0"/>
          <w:numId w:val="9"/>
        </w:numPr>
        <w:rPr>
          <w:i/>
          <w:iCs/>
        </w:rPr>
      </w:pPr>
      <w:r>
        <w:t>Ve výjimečných případech nebo při mimořádné situaci může RM svým usnesením rozhodnout o uzavření nájemní smlouvy mimo stanovený seznam se žadatelem (fyzická nebo právnická osoba), z důvodu veřejného zájmu nebo zvláštního zřetele města k osobě a činnosti žadatele.</w:t>
      </w:r>
    </w:p>
    <w:p w:rsidR="009A08F7" w:rsidRDefault="009A08F7" w:rsidP="009A08F7">
      <w:pPr>
        <w:numPr>
          <w:ilvl w:val="0"/>
          <w:numId w:val="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byty v domě s pečovatelskou službou na adrese U Rybníčků 1044, Světlá nad Sázavou, které se přidělují na základě doporučení komise sociální, zdravotní a pro výběr do DD dle kritérií schválených RM. </w:t>
      </w:r>
    </w:p>
    <w:p w:rsidR="009A08F7" w:rsidRDefault="009A08F7" w:rsidP="009A08F7">
      <w:pPr>
        <w:ind w:left="360" w:hanging="360"/>
        <w:jc w:val="both"/>
        <w:rPr>
          <w:szCs w:val="20"/>
        </w:rPr>
      </w:pPr>
    </w:p>
    <w:p w:rsidR="009A08F7" w:rsidRDefault="009A08F7" w:rsidP="009A08F7">
      <w:pPr>
        <w:ind w:left="360" w:hanging="360"/>
        <w:jc w:val="both"/>
        <w:rPr>
          <w:szCs w:val="20"/>
        </w:rPr>
      </w:pPr>
    </w:p>
    <w:p w:rsidR="009A08F7" w:rsidRDefault="009A08F7" w:rsidP="009A08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V. Uzavírání nájemních smluv na byty v Josefodole čp. 24</w:t>
      </w:r>
    </w:p>
    <w:p w:rsidR="009A08F7" w:rsidRDefault="009A08F7" w:rsidP="009A08F7">
      <w:pPr>
        <w:ind w:left="360"/>
        <w:rPr>
          <w:rFonts w:ascii="Calibri" w:hAnsi="Calibri"/>
          <w:color w:val="0000FF"/>
          <w:sz w:val="22"/>
          <w:szCs w:val="22"/>
        </w:rPr>
      </w:pPr>
      <w:r>
        <w:rPr>
          <w:color w:val="000000"/>
        </w:rPr>
        <w:t>Byty v nástavbě (7 bytů) v bytovém domě v Josefodole čp. 24 jsou přidělovány nízkopříjmovým občanům, kteří k žádosti o byt musí dokládat potvrzení o příjmu. Nájemní smlouvy u výše uvedených bytů lze uzavírat nejdéle na dobu 2 let, přičemž smlouvu lze opakovaně prodloužit (dle Nařízení vlády č. 146/2003 Sb. – o použití prostředků Státního fondu rozvoje bydlení ke krytí části nákladů spojených s výstavbou bytů pro příjmově vymezené osoby).</w:t>
      </w:r>
    </w:p>
    <w:p w:rsidR="009A08F7" w:rsidRDefault="009A08F7" w:rsidP="009A08F7">
      <w:pPr>
        <w:jc w:val="both"/>
        <w:rPr>
          <w:b/>
          <w:bCs/>
          <w:u w:val="single"/>
        </w:rPr>
      </w:pPr>
    </w:p>
    <w:p w:rsidR="009A08F7" w:rsidRDefault="009A08F7" w:rsidP="009A08F7">
      <w:pPr>
        <w:jc w:val="both"/>
        <w:rPr>
          <w:b/>
          <w:bCs/>
          <w:u w:val="single"/>
        </w:rPr>
      </w:pPr>
    </w:p>
    <w:p w:rsidR="009A08F7" w:rsidRDefault="009A08F7" w:rsidP="009A08F7">
      <w:pPr>
        <w:ind w:left="360" w:hanging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VI. Podmínky pro uzavření nájemní smlouvy</w:t>
      </w:r>
    </w:p>
    <w:p w:rsidR="009A08F7" w:rsidRDefault="009A08F7" w:rsidP="009A08F7">
      <w:pPr>
        <w:pStyle w:val="Zkladntextodsazen2"/>
        <w:jc w:val="left"/>
      </w:pPr>
      <w:r>
        <w:t xml:space="preserve">Město Světlá nad Sázavou, zastoupené správcem bytů uzavře podle těchto zásad, návrhu </w:t>
      </w:r>
    </w:p>
    <w:p w:rsidR="009A08F7" w:rsidRDefault="009A08F7" w:rsidP="009A08F7">
      <w:pPr>
        <w:pStyle w:val="Zkladntextodsazen2"/>
        <w:ind w:left="360" w:firstLine="0"/>
        <w:jc w:val="left"/>
      </w:pPr>
      <w:r>
        <w:t>BK a schválení RM s žadatelem:</w:t>
      </w:r>
    </w:p>
    <w:p w:rsidR="009A08F7" w:rsidRDefault="009A08F7" w:rsidP="009A08F7">
      <w:pPr>
        <w:numPr>
          <w:ilvl w:val="0"/>
          <w:numId w:val="10"/>
        </w:numPr>
      </w:pPr>
      <w:r>
        <w:t xml:space="preserve">Nájemní smlouvu na </w:t>
      </w:r>
      <w:r>
        <w:rPr>
          <w:b/>
          <w:bCs/>
        </w:rPr>
        <w:t>dobu určitou jednoho roku</w:t>
      </w:r>
      <w:r>
        <w:t>, která bude v případě řádného užívání bytu a plnění si povinností plynoucích z nájemní smlouvy prodloužena. V případě neplnění povinností plynoucích z nájemní smlouvy anebo ustanovení OZ nebude pro projednání v BK a odsouhlasením v RM nájemní smlouva prodloužena. Nájemní smlouvu na dobu kratší jednoho roku je možné uzavřít po schválení RM.</w:t>
      </w:r>
    </w:p>
    <w:p w:rsidR="009A08F7" w:rsidRDefault="009A08F7" w:rsidP="009A08F7">
      <w:pPr>
        <w:ind w:left="720"/>
      </w:pPr>
    </w:p>
    <w:p w:rsidR="009A08F7" w:rsidRDefault="009A08F7" w:rsidP="009A08F7">
      <w:pPr>
        <w:numPr>
          <w:ilvl w:val="0"/>
          <w:numId w:val="10"/>
        </w:numPr>
      </w:pPr>
      <w:r>
        <w:t xml:space="preserve">Nájemní smlouvu na </w:t>
      </w:r>
      <w:r>
        <w:rPr>
          <w:b/>
        </w:rPr>
        <w:t>dobu určitou 5-ti let</w:t>
      </w:r>
      <w:r>
        <w:t xml:space="preserve"> bude uzavřena s uživatelem bytu: </w:t>
      </w:r>
    </w:p>
    <w:p w:rsidR="009A08F7" w:rsidRDefault="009A08F7" w:rsidP="009A08F7">
      <w:pPr>
        <w:numPr>
          <w:ilvl w:val="0"/>
          <w:numId w:val="11"/>
        </w:numPr>
      </w:pPr>
      <w:r>
        <w:t>kterému byla smlouva na dobu určitou jednoho roku automaticky prodlužována po čtyři následující roky od uzavření nájemní smlouvy na dobu určitou jednoho roku,(tj. po 5-ti letech řádného užívání bytu).</w:t>
      </w:r>
    </w:p>
    <w:p w:rsidR="009A08F7" w:rsidRDefault="009A08F7" w:rsidP="009A08F7">
      <w:pPr>
        <w:numPr>
          <w:ilvl w:val="0"/>
          <w:numId w:val="11"/>
        </w:numPr>
      </w:pPr>
      <w:r>
        <w:t>který uvolní větší nájemní byt s nájemní smlouvou na dobu neurčitou a dosud s ním nebyly problémy s plněním povinností plynoucích z nájemní smlouvy.</w:t>
      </w:r>
    </w:p>
    <w:p w:rsidR="009A08F7" w:rsidRDefault="009A08F7" w:rsidP="009A08F7">
      <w:r>
        <w:t xml:space="preserve">            Obnovování těchto smluv bude na pětileté období.</w:t>
      </w:r>
    </w:p>
    <w:p w:rsidR="009A08F7" w:rsidRDefault="009A08F7" w:rsidP="009A08F7"/>
    <w:p w:rsidR="009A08F7" w:rsidRDefault="009A08F7" w:rsidP="009A08F7">
      <w:pPr>
        <w:numPr>
          <w:ilvl w:val="0"/>
          <w:numId w:val="10"/>
        </w:numPr>
        <w:rPr>
          <w:b/>
        </w:rPr>
      </w:pPr>
      <w:r>
        <w:t xml:space="preserve">Nájemní smlouva pro sociální bydlení  může být sjednána </w:t>
      </w:r>
      <w:r>
        <w:rPr>
          <w:b/>
        </w:rPr>
        <w:t xml:space="preserve">na dobu kratší než      </w:t>
      </w:r>
    </w:p>
    <w:p w:rsidR="009A08F7" w:rsidRDefault="009A08F7" w:rsidP="009A08F7">
      <w:pPr>
        <w:ind w:left="360"/>
      </w:pPr>
      <w:r>
        <w:rPr>
          <w:b/>
        </w:rPr>
        <w:lastRenderedPageBreak/>
        <w:t xml:space="preserve">      jeden rok</w:t>
      </w:r>
      <w:r>
        <w:t xml:space="preserve">. Podmínkou pro uzavření takovéto nájemní smlouvy a následné  </w:t>
      </w:r>
    </w:p>
    <w:p w:rsidR="009A08F7" w:rsidRDefault="009A08F7" w:rsidP="009A08F7">
      <w:pPr>
        <w:ind w:left="360"/>
      </w:pPr>
      <w:r>
        <w:t xml:space="preserve">      užívání bytu je předchozí doporučení komise sociální, zdravotní a pro výběr do</w:t>
      </w:r>
    </w:p>
    <w:p w:rsidR="009A08F7" w:rsidRDefault="009A08F7" w:rsidP="009A08F7">
      <w:pPr>
        <w:ind w:left="360"/>
      </w:pPr>
      <w:r>
        <w:t xml:space="preserve">      DD a aktivní spolupráce se sociálním pracovníkem obce, nebo jinou </w:t>
      </w:r>
    </w:p>
    <w:p w:rsidR="009A08F7" w:rsidRDefault="009A08F7" w:rsidP="009A08F7">
      <w:pPr>
        <w:ind w:left="360"/>
      </w:pPr>
      <w:r>
        <w:t xml:space="preserve">      registrovanou sociální službou, které budou vykonávat dohled.  Nad řádným    </w:t>
      </w:r>
    </w:p>
    <w:p w:rsidR="009A08F7" w:rsidRDefault="009A08F7" w:rsidP="009A08F7">
      <w:pPr>
        <w:ind w:left="360"/>
      </w:pPr>
      <w:r>
        <w:t xml:space="preserve">      užíváním bytu vykonává zvýšený dohled také správce bytu.</w:t>
      </w:r>
    </w:p>
    <w:p w:rsidR="009A08F7" w:rsidRDefault="009A08F7" w:rsidP="009A08F7">
      <w:pPr>
        <w:ind w:left="360"/>
      </w:pPr>
    </w:p>
    <w:p w:rsidR="009A08F7" w:rsidRDefault="009A08F7" w:rsidP="009A08F7">
      <w:pPr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4)</w:t>
      </w:r>
      <w:r>
        <w:rPr>
          <w:rFonts w:eastAsia="Calibri"/>
          <w:lang w:eastAsia="en-US"/>
        </w:rPr>
        <w:tab/>
        <w:t xml:space="preserve">S účinností od 1. 1. 2013 se při uzavření nájemní smlouvy požaduje složení jistoty ve </w:t>
      </w:r>
    </w:p>
    <w:p w:rsidR="009A08F7" w:rsidRDefault="009A08F7" w:rsidP="009A08F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výši trojnásobku měsíčního nájemného. </w:t>
      </w:r>
    </w:p>
    <w:p w:rsidR="009A08F7" w:rsidRDefault="009A08F7" w:rsidP="009A08F7">
      <w:pPr>
        <w:rPr>
          <w:rFonts w:eastAsia="Calibri"/>
          <w:b/>
          <w:color w:val="00B0F0"/>
          <w:lang w:eastAsia="en-US"/>
        </w:rPr>
      </w:pPr>
    </w:p>
    <w:p w:rsidR="009A08F7" w:rsidRDefault="009A08F7" w:rsidP="009A08F7">
      <w:pPr>
        <w:ind w:left="2340" w:hanging="2340"/>
        <w:jc w:val="center"/>
        <w:rPr>
          <w:u w:val="single"/>
        </w:rPr>
      </w:pPr>
      <w:r>
        <w:rPr>
          <w:b/>
          <w:bCs/>
          <w:u w:val="single"/>
        </w:rPr>
        <w:t>VII. Podnájem bytu (části bytu</w:t>
      </w:r>
      <w:r>
        <w:rPr>
          <w:u w:val="single"/>
        </w:rPr>
        <w:t>)</w:t>
      </w:r>
    </w:p>
    <w:p w:rsidR="009A08F7" w:rsidRDefault="009A08F7" w:rsidP="009A08F7">
      <w:pPr>
        <w:numPr>
          <w:ilvl w:val="0"/>
          <w:numId w:val="12"/>
        </w:numPr>
      </w:pPr>
      <w:r>
        <w:t>Souhlasí-li pronajímatel, může nájemce zřídit třetí osobě k věci užívací právo; byla-li nájemní smlouva uzavřena v písemné formě, vyžaduje i souhlas pronajímatele písemnou formu.</w:t>
      </w:r>
    </w:p>
    <w:p w:rsidR="009A08F7" w:rsidRDefault="009A08F7" w:rsidP="009A08F7">
      <w:pPr>
        <w:numPr>
          <w:ilvl w:val="0"/>
          <w:numId w:val="12"/>
        </w:numPr>
      </w:pPr>
      <w:r>
        <w:t>Zřídí-li nájemce třetí osobě užívací právo k věci bez souhlasu pronajímatele, považuje se to za hrubé porušení nájemcových povinností způsobující pronajímateli vážnější újmu.</w:t>
      </w:r>
    </w:p>
    <w:p w:rsidR="009A08F7" w:rsidRDefault="009A08F7" w:rsidP="009A08F7">
      <w:pPr>
        <w:numPr>
          <w:ilvl w:val="0"/>
          <w:numId w:val="12"/>
        </w:numPr>
      </w:pPr>
      <w:r>
        <w:t>Užívací právo lze třetí osobě zřídit jen na dobu nájmu věci; k odchylnému ujednání se nepřihlíží.</w:t>
      </w:r>
    </w:p>
    <w:p w:rsidR="009A08F7" w:rsidRDefault="009A08F7" w:rsidP="009A08F7">
      <w:pPr>
        <w:ind w:left="360"/>
      </w:pPr>
      <w:r>
        <w:t>V případě, že nájemce pronajme byt nebo jeho část bez souhlasu RM, bude mu dána výpověď dle ustanovení § 2215 odst. 2 Občanského zákoníku.</w:t>
      </w:r>
    </w:p>
    <w:p w:rsidR="009A08F7" w:rsidRDefault="009A08F7" w:rsidP="009A08F7">
      <w:pPr>
        <w:ind w:left="360"/>
        <w:jc w:val="both"/>
        <w:rPr>
          <w:b/>
        </w:rPr>
      </w:pPr>
    </w:p>
    <w:p w:rsidR="009A08F7" w:rsidRDefault="009A08F7" w:rsidP="009A08F7">
      <w:pPr>
        <w:ind w:left="360"/>
        <w:jc w:val="both"/>
        <w:rPr>
          <w:b/>
        </w:rPr>
      </w:pPr>
    </w:p>
    <w:p w:rsidR="009A08F7" w:rsidRDefault="009A08F7" w:rsidP="009A08F7">
      <w:pPr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VIII. Postup při řešení problémů s užíváním nájemních bytů v majetku města</w:t>
      </w:r>
    </w:p>
    <w:p w:rsidR="009A08F7" w:rsidRDefault="009A08F7" w:rsidP="009A08F7">
      <w:pPr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Kontroly pronajatých bytů včetně dodržování platných předpisů a ujednání nájemní smlouvy provádí BK ve spolupráci se správcem bytů průběžně a dle potřeby. V případě potřeby může být ke spolupráci přizvána Městská policie. </w:t>
      </w:r>
    </w:p>
    <w:p w:rsidR="009A08F7" w:rsidRDefault="009A08F7" w:rsidP="009A08F7">
      <w:pPr>
        <w:rPr>
          <w:rFonts w:eastAsia="Calibri"/>
          <w:u w:val="single"/>
          <w:lang w:eastAsia="en-US"/>
        </w:rPr>
      </w:pPr>
    </w:p>
    <w:p w:rsidR="009A08F7" w:rsidRDefault="009A08F7" w:rsidP="009A08F7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Porušování dobrých mravů</w:t>
      </w:r>
    </w:p>
    <w:p w:rsidR="009A08F7" w:rsidRDefault="009A08F7" w:rsidP="009A08F7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Pokud nájemce nebo ostatní uživatelé bytu hrubě porušují dobré mravy v domě, je nájemci bezprostředně po zjištění této skutečnosti doručena písemná výstraha s upozorněním na důsledky, které z toho pro nájemce mohou plynout. V případě, že i poté jsou nájemcem či ostatními uživateli bytu dobré mravy v domě porušovány, BK předloží RM návrh na vypovězení nájemní smlouvy.</w:t>
      </w:r>
    </w:p>
    <w:p w:rsidR="009A08F7" w:rsidRDefault="009A08F7" w:rsidP="009A08F7">
      <w:pPr>
        <w:rPr>
          <w:rFonts w:eastAsia="Calibri"/>
          <w:lang w:eastAsia="en-US"/>
        </w:rPr>
      </w:pPr>
    </w:p>
    <w:p w:rsidR="009A08F7" w:rsidRDefault="009A08F7" w:rsidP="009A08F7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Neplacení nájemného a úhrad za služby, nedoplnění jistoty</w:t>
      </w:r>
    </w:p>
    <w:p w:rsidR="009A08F7" w:rsidRDefault="009A08F7" w:rsidP="009A08F7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Pokud nájemce bytu neuhradí v řádném termínu měsíční nájemné a služby spojené s užíváním bytu, je  správcem bytů, nejpozději do 30-ti pracovních dnů po termínu splatnosti nájemného a služeb spojených s užíváním bytu, nájemci doručena upomínka s upozorněním na důsledky, které nájemci z tohoto plynou a nájemce je případně pozván k vysvětlení této skutečnosti. Pokud není nájemcem na základě upomínky dluh na nájemném vyrovnán a dlužná částka dosáhne výše trojnásobku měsíčního nájemného a úhrad za služby spojené s užíváním bytu, BK předloží RM návrh na vypovězení nájemní smlouvy. Dlužná částka, včetně poplatku z prodlení, je správcem bytů od dlužníka dostupnými a zákonnými prostředky vymáhána. Pokud dlužná částka není dlužníkem uhrazena a nedojde ani k uzavření dohody o splátkách dluhu, je věc k řešení předána právnímu zástupci správce bytů.</w:t>
      </w:r>
    </w:p>
    <w:p w:rsidR="009A08F7" w:rsidRDefault="009A08F7" w:rsidP="009A08F7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Pokud je pronajímatel nucen použít peněžní prostředky z nájemcem složené jistoty k úhradě pohledávek či závazků nájemce spojených s užíváním bytu, je nájemce povinen do jednoho měsíce tyto prostředky do plné výše doplnit. Pokud tak přes písemnou výzvu neučiní, BK předloží RM návrh na vypovězení nájemní smlouvy.</w:t>
      </w:r>
    </w:p>
    <w:p w:rsidR="009A08F7" w:rsidRDefault="009A08F7" w:rsidP="009A08F7">
      <w:pPr>
        <w:rPr>
          <w:rFonts w:eastAsia="Calibri"/>
          <w:lang w:eastAsia="en-US"/>
        </w:rPr>
      </w:pPr>
    </w:p>
    <w:p w:rsidR="009A08F7" w:rsidRDefault="009A08F7" w:rsidP="009A08F7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Vlastnictví dalšího bytu, nemovitosti určené k bydlení nebo členství v bytovém družstvu s právem nájmu bytu</w:t>
      </w:r>
    </w:p>
    <w:p w:rsidR="009A08F7" w:rsidRDefault="009A08F7" w:rsidP="009A08F7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Zjistí-li správce bytů případně BK, že nájemce vlastní další byt, nemovitost určenou k bydlení nebo je členem bytového družstva s právem nájmu bytu, je nájemce neprodleně vyzván k podání vysvětlení. Neprokáže-li nájemce, že užívání bytu či nemovitosti k bydlení není za žádných okolností možné, BK předloží RM návrh, aby rozhodla, že po uplynutí doby, na kterou je nájemní smlouva uzavřena, již nebude prodloužena.  </w:t>
      </w:r>
    </w:p>
    <w:p w:rsidR="009A08F7" w:rsidRDefault="009A08F7" w:rsidP="009A08F7">
      <w:pPr>
        <w:rPr>
          <w:rFonts w:eastAsia="Calibri"/>
          <w:lang w:eastAsia="en-US"/>
        </w:rPr>
      </w:pPr>
    </w:p>
    <w:p w:rsidR="009A08F7" w:rsidRDefault="009A08F7" w:rsidP="009A08F7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Neužívání bytu a občasné užívání bytu</w:t>
      </w:r>
    </w:p>
    <w:p w:rsidR="009A08F7" w:rsidRDefault="009A08F7" w:rsidP="009A08F7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Zjistí-li správce bytů případně BK, že nájemce pronajatý byt neužívá nebo jej užívá jen občas, je nájemce neprodleně vyzván k podání vysvětlení. Neprokáže-li nájemce, že k neužívání či občasnému užívání neměl vážné důvody, BK předloží RM návrh, aby rozhodla, že po uplynutí doby, na kterou je nájemní smlouva uzavřena, již nebude prodloužena.  </w:t>
      </w:r>
    </w:p>
    <w:p w:rsidR="009A08F7" w:rsidRDefault="009A08F7" w:rsidP="009A08F7">
      <w:pPr>
        <w:jc w:val="both"/>
        <w:rPr>
          <w:bCs/>
          <w:u w:val="single"/>
        </w:rPr>
      </w:pPr>
    </w:p>
    <w:p w:rsidR="009A08F7" w:rsidRDefault="009A08F7" w:rsidP="009A08F7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Prohlášení – likvidace věcí po vystěhování z bytu </w:t>
      </w:r>
    </w:p>
    <w:p w:rsidR="009A08F7" w:rsidRDefault="009A08F7" w:rsidP="009A08F7">
      <w:pPr>
        <w:ind w:left="720"/>
        <w:jc w:val="both"/>
        <w:rPr>
          <w:bCs/>
        </w:rPr>
      </w:pPr>
      <w:r>
        <w:rPr>
          <w:bCs/>
        </w:rPr>
        <w:t>Zjistí-li správce bytů při přebírání bytu, že v něm zůstaly uloženy věci a to i včetně nábytku, budou považovány za věc opuštěnou, o kterou nájemce již nemá zájem a souhlasí s její likvidací nebo přivlastněním správcem bytů.</w:t>
      </w:r>
    </w:p>
    <w:p w:rsidR="009A08F7" w:rsidRDefault="009A08F7" w:rsidP="009A08F7">
      <w:pPr>
        <w:jc w:val="both"/>
        <w:rPr>
          <w:bCs/>
          <w:u w:val="single"/>
        </w:rPr>
      </w:pPr>
    </w:p>
    <w:p w:rsidR="009A08F7" w:rsidRDefault="009A08F7" w:rsidP="009A08F7">
      <w:pPr>
        <w:ind w:firstLine="708"/>
        <w:jc w:val="both"/>
        <w:rPr>
          <w:bCs/>
          <w:u w:val="single"/>
        </w:rPr>
      </w:pPr>
    </w:p>
    <w:p w:rsidR="009A08F7" w:rsidRDefault="009A08F7" w:rsidP="009A08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IX. Závěrečná ustanovení.</w:t>
      </w:r>
    </w:p>
    <w:p w:rsidR="009A08F7" w:rsidRDefault="009A08F7" w:rsidP="009A08F7">
      <w:pPr>
        <w:numPr>
          <w:ilvl w:val="0"/>
          <w:numId w:val="14"/>
        </w:numPr>
        <w:jc w:val="both"/>
        <w:rPr>
          <w:b/>
        </w:rPr>
      </w:pPr>
      <w:r>
        <w:t>Účinnost této směrnice je od 18. 10. 2016.</w:t>
      </w:r>
    </w:p>
    <w:p w:rsidR="009A08F7" w:rsidRDefault="009A08F7" w:rsidP="009A08F7">
      <w:pPr>
        <w:numPr>
          <w:ilvl w:val="0"/>
          <w:numId w:val="14"/>
        </w:numPr>
        <w:jc w:val="both"/>
      </w:pPr>
      <w:r>
        <w:t>Ke dni účinnosti této směrnice se ruší „Zásady pro poskytování bydlení v nájemních bytech v majetku města Světlá nad Sázavou“, schválení RM dne 23. 11. 2015, usnesením č. 617/2015.</w:t>
      </w:r>
    </w:p>
    <w:p w:rsidR="009A08F7" w:rsidRDefault="009A08F7" w:rsidP="009A08F7">
      <w:pPr>
        <w:numPr>
          <w:ilvl w:val="0"/>
          <w:numId w:val="14"/>
        </w:numPr>
        <w:jc w:val="both"/>
      </w:pPr>
      <w:r>
        <w:t>Schváleno usnesením RM č. 517/2016 ze dne 17. 10. 2016.</w:t>
      </w:r>
    </w:p>
    <w:p w:rsidR="009A08F7" w:rsidRDefault="009A08F7" w:rsidP="009A08F7">
      <w:pPr>
        <w:jc w:val="both"/>
      </w:pPr>
    </w:p>
    <w:p w:rsidR="009A08F7" w:rsidRDefault="009A08F7" w:rsidP="009A08F7">
      <w:pPr>
        <w:jc w:val="both"/>
      </w:pPr>
    </w:p>
    <w:p w:rsidR="009A08F7" w:rsidRDefault="009A08F7" w:rsidP="009A08F7">
      <w:pPr>
        <w:jc w:val="both"/>
      </w:pPr>
    </w:p>
    <w:p w:rsidR="009A08F7" w:rsidRDefault="009A08F7" w:rsidP="009A08F7">
      <w:pPr>
        <w:jc w:val="both"/>
      </w:pPr>
    </w:p>
    <w:p w:rsidR="009A08F7" w:rsidRDefault="009A08F7" w:rsidP="009A08F7">
      <w:pPr>
        <w:jc w:val="both"/>
      </w:pPr>
    </w:p>
    <w:p w:rsidR="009A08F7" w:rsidRDefault="009A08F7" w:rsidP="009A08F7">
      <w:pPr>
        <w:jc w:val="both"/>
      </w:pPr>
    </w:p>
    <w:p w:rsidR="009A08F7" w:rsidRDefault="009A08F7" w:rsidP="009A08F7">
      <w:pPr>
        <w:jc w:val="both"/>
      </w:pPr>
    </w:p>
    <w:p w:rsidR="009A08F7" w:rsidRDefault="009A08F7" w:rsidP="009A08F7">
      <w:pPr>
        <w:jc w:val="both"/>
      </w:pPr>
    </w:p>
    <w:p w:rsidR="009A08F7" w:rsidRDefault="009A08F7" w:rsidP="009A08F7">
      <w:pPr>
        <w:jc w:val="both"/>
      </w:pPr>
    </w:p>
    <w:p w:rsidR="009A08F7" w:rsidRDefault="009A08F7" w:rsidP="009A08F7">
      <w:pPr>
        <w:tabs>
          <w:tab w:val="center" w:pos="1701"/>
          <w:tab w:val="center" w:pos="7088"/>
        </w:tabs>
        <w:rPr>
          <w:b/>
          <w:i/>
        </w:rPr>
      </w:pPr>
      <w:r>
        <w:tab/>
      </w:r>
      <w:r>
        <w:rPr>
          <w:b/>
          <w:i/>
        </w:rPr>
        <w:t>Mgr. Jan Tourek, v.r.</w:t>
      </w:r>
      <w:r>
        <w:rPr>
          <w:b/>
          <w:i/>
        </w:rPr>
        <w:tab/>
        <w:t>Josef Hnik, v.r.</w:t>
      </w:r>
    </w:p>
    <w:p w:rsidR="009A08F7" w:rsidRDefault="009A08F7" w:rsidP="009A08F7">
      <w:pPr>
        <w:tabs>
          <w:tab w:val="center" w:pos="1701"/>
          <w:tab w:val="center" w:pos="7088"/>
        </w:tabs>
        <w:rPr>
          <w:b/>
          <w:i/>
        </w:rPr>
      </w:pPr>
      <w:r>
        <w:rPr>
          <w:b/>
          <w:i/>
        </w:rPr>
        <w:tab/>
        <w:t xml:space="preserve">starosta </w:t>
      </w:r>
      <w:r>
        <w:rPr>
          <w:b/>
          <w:i/>
        </w:rPr>
        <w:tab/>
        <w:t xml:space="preserve"> místostarosta</w:t>
      </w:r>
    </w:p>
    <w:p w:rsidR="006678F5" w:rsidRDefault="006678F5"/>
    <w:sectPr w:rsidR="006678F5" w:rsidSect="00EB751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C3B"/>
    <w:multiLevelType w:val="hybridMultilevel"/>
    <w:tmpl w:val="86E6B52A"/>
    <w:lvl w:ilvl="0" w:tplc="DCBE24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7207"/>
    <w:multiLevelType w:val="hybridMultilevel"/>
    <w:tmpl w:val="AE56C25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442A"/>
    <w:multiLevelType w:val="hybridMultilevel"/>
    <w:tmpl w:val="873803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C3B7A"/>
    <w:multiLevelType w:val="hybridMultilevel"/>
    <w:tmpl w:val="D2B060EC"/>
    <w:lvl w:ilvl="0" w:tplc="C010B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54E8F"/>
    <w:multiLevelType w:val="hybridMultilevel"/>
    <w:tmpl w:val="FF6695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A5D43"/>
    <w:multiLevelType w:val="hybridMultilevel"/>
    <w:tmpl w:val="84A64CA2"/>
    <w:lvl w:ilvl="0" w:tplc="2A2648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6E2C0E6">
      <w:start w:val="4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66F4B"/>
    <w:multiLevelType w:val="hybridMultilevel"/>
    <w:tmpl w:val="D3FE6D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35229"/>
    <w:multiLevelType w:val="hybridMultilevel"/>
    <w:tmpl w:val="987AEB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45A3D"/>
    <w:multiLevelType w:val="hybridMultilevel"/>
    <w:tmpl w:val="6E0A15A8"/>
    <w:lvl w:ilvl="0" w:tplc="BB0081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532A68A">
      <w:start w:val="4"/>
      <w:numFmt w:val="decimal"/>
      <w:lvlText w:val="%2)"/>
      <w:lvlJc w:val="left"/>
      <w:pPr>
        <w:tabs>
          <w:tab w:val="num" w:pos="1803"/>
        </w:tabs>
        <w:ind w:left="1803" w:hanging="375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072D6"/>
    <w:multiLevelType w:val="hybridMultilevel"/>
    <w:tmpl w:val="A60824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D242B"/>
    <w:multiLevelType w:val="hybridMultilevel"/>
    <w:tmpl w:val="879E5F76"/>
    <w:lvl w:ilvl="0" w:tplc="DCBE24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1245F"/>
    <w:multiLevelType w:val="hybridMultilevel"/>
    <w:tmpl w:val="0A327718"/>
    <w:lvl w:ilvl="0" w:tplc="DCBE24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413BD"/>
    <w:multiLevelType w:val="hybridMultilevel"/>
    <w:tmpl w:val="2D3A94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661AF"/>
    <w:multiLevelType w:val="hybridMultilevel"/>
    <w:tmpl w:val="29CA9D82"/>
    <w:lvl w:ilvl="0" w:tplc="10ECB3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08F7"/>
    <w:rsid w:val="001D20B2"/>
    <w:rsid w:val="0022487B"/>
    <w:rsid w:val="003B475E"/>
    <w:rsid w:val="00483D3F"/>
    <w:rsid w:val="00545E9D"/>
    <w:rsid w:val="005A3E7C"/>
    <w:rsid w:val="006678F5"/>
    <w:rsid w:val="007B344A"/>
    <w:rsid w:val="009A08F7"/>
    <w:rsid w:val="00EB7513"/>
    <w:rsid w:val="00E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5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45E9D"/>
    <w:pPr>
      <w:spacing w:after="0" w:line="240" w:lineRule="auto"/>
      <w:jc w:val="both"/>
    </w:pPr>
  </w:style>
  <w:style w:type="character" w:styleId="Hypertextovodkaz">
    <w:name w:val="Hyperlink"/>
    <w:uiPriority w:val="99"/>
    <w:semiHidden/>
    <w:unhideWhenUsed/>
    <w:rsid w:val="009A08F7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9A08F7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9A08F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A08F7"/>
    <w:pPr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A08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9A08F7"/>
    <w:pPr>
      <w:ind w:left="72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A08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9A08F7"/>
    <w:pPr>
      <w:ind w:left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A08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svetla.cz" TargetMode="External"/><Relationship Id="rId5" Type="http://schemas.openxmlformats.org/officeDocument/2006/relationships/hyperlink" Target="http://www.svetla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2016-11-29T08:35:00Z</dcterms:created>
  <dcterms:modified xsi:type="dcterms:W3CDTF">2016-11-29T08:36:00Z</dcterms:modified>
</cp:coreProperties>
</file>